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CA4B" w14:textId="77777777" w:rsidR="0067498B" w:rsidRDefault="0067498B" w:rsidP="00FE7202">
      <w:pPr>
        <w:spacing w:after="120" w:line="264" w:lineRule="auto"/>
        <w:rPr>
          <w:rFonts w:ascii="Calibri" w:eastAsia="Times New Roman" w:hAnsi="Calibri" w:cs="Calibri"/>
          <w:sz w:val="22"/>
          <w:szCs w:val="22"/>
          <w:lang w:eastAsia="de-DE"/>
        </w:rPr>
      </w:pPr>
      <w:r>
        <w:rPr>
          <w:rFonts w:ascii="Calibri" w:eastAsia="Times New Roman" w:hAnsi="Calibri" w:cs="Calibri"/>
          <w:noProof/>
          <w:sz w:val="22"/>
          <w:szCs w:val="22"/>
          <w:lang w:eastAsia="de-DE"/>
        </w:rPr>
        <w:drawing>
          <wp:anchor distT="0" distB="0" distL="114300" distR="114300" simplePos="0" relativeHeight="251659264" behindDoc="0" locked="0" layoutInCell="1" allowOverlap="1" wp14:anchorId="3B4210C1" wp14:editId="7ABCE071">
            <wp:simplePos x="0" y="0"/>
            <wp:positionH relativeFrom="column">
              <wp:posOffset>-1661</wp:posOffset>
            </wp:positionH>
            <wp:positionV relativeFrom="paragraph">
              <wp:posOffset>244</wp:posOffset>
            </wp:positionV>
            <wp:extent cx="1295400" cy="914400"/>
            <wp:effectExtent l="0" t="0" r="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anchor>
        </w:drawing>
      </w:r>
    </w:p>
    <w:p w14:paraId="0B01F4AA" w14:textId="77777777" w:rsidR="0067498B" w:rsidRDefault="0067498B" w:rsidP="00FE7202">
      <w:pPr>
        <w:spacing w:after="120" w:line="264" w:lineRule="auto"/>
        <w:rPr>
          <w:rFonts w:ascii="Calibri" w:eastAsia="Times New Roman" w:hAnsi="Calibri" w:cs="Calibri"/>
          <w:sz w:val="22"/>
          <w:szCs w:val="22"/>
          <w:lang w:eastAsia="de-DE"/>
        </w:rPr>
      </w:pPr>
    </w:p>
    <w:p w14:paraId="44B07812" w14:textId="77777777" w:rsidR="0067498B" w:rsidRDefault="0067498B" w:rsidP="00FE7202">
      <w:pPr>
        <w:spacing w:after="120" w:line="264" w:lineRule="auto"/>
        <w:rPr>
          <w:rFonts w:ascii="Calibri" w:eastAsia="Times New Roman" w:hAnsi="Calibri" w:cs="Calibri"/>
          <w:sz w:val="22"/>
          <w:szCs w:val="22"/>
          <w:lang w:eastAsia="de-DE"/>
        </w:rPr>
      </w:pPr>
    </w:p>
    <w:p w14:paraId="7F9DD8AA" w14:textId="77777777" w:rsidR="0067498B" w:rsidRDefault="0067498B" w:rsidP="00FE7202">
      <w:pPr>
        <w:spacing w:after="120" w:line="264" w:lineRule="auto"/>
        <w:rPr>
          <w:rFonts w:ascii="Calibri" w:eastAsia="Times New Roman" w:hAnsi="Calibri" w:cs="Calibri"/>
          <w:sz w:val="22"/>
          <w:szCs w:val="22"/>
          <w:lang w:eastAsia="de-DE"/>
        </w:rPr>
      </w:pPr>
    </w:p>
    <w:p w14:paraId="06464F04" w14:textId="40FB3144" w:rsidR="00FE7202" w:rsidRPr="00FE7202" w:rsidRDefault="00FE7202" w:rsidP="00FE7202">
      <w:pPr>
        <w:spacing w:after="120" w:line="264" w:lineRule="auto"/>
        <w:rPr>
          <w:rFonts w:ascii="Calibri" w:eastAsia="Times New Roman" w:hAnsi="Calibri" w:cs="Calibri"/>
          <w:sz w:val="22"/>
          <w:szCs w:val="22"/>
          <w:lang w:eastAsia="de-DE"/>
        </w:rPr>
      </w:pPr>
      <w:r w:rsidRPr="00FE7202">
        <w:rPr>
          <w:rFonts w:ascii="Calibri" w:eastAsia="Times New Roman" w:hAnsi="Calibri" w:cs="Calibri"/>
          <w:b/>
          <w:bCs/>
          <w:lang w:eastAsia="de-DE"/>
        </w:rPr>
        <w:t>Pressemitteilung vom 2.2.2022</w:t>
      </w:r>
    </w:p>
    <w:p w14:paraId="5252106A" w14:textId="382424D9" w:rsidR="00FE7202" w:rsidRPr="00FE7202" w:rsidRDefault="00FE7202" w:rsidP="00FE7202">
      <w:pPr>
        <w:spacing w:after="120" w:line="264" w:lineRule="auto"/>
        <w:rPr>
          <w:rFonts w:ascii="Calibri" w:eastAsia="Times New Roman" w:hAnsi="Calibri" w:cs="Calibri"/>
          <w:sz w:val="22"/>
          <w:szCs w:val="22"/>
          <w:lang w:eastAsia="de-DE"/>
        </w:rPr>
      </w:pPr>
      <w:r w:rsidRPr="00FE7202">
        <w:rPr>
          <w:rFonts w:ascii="Calibri" w:eastAsia="Times New Roman" w:hAnsi="Calibri" w:cs="Calibri"/>
          <w:b/>
          <w:bCs/>
          <w:sz w:val="28"/>
          <w:szCs w:val="28"/>
          <w:lang w:eastAsia="de-DE"/>
        </w:rPr>
        <w:t xml:space="preserve">Nach erneutem Apartheidvorwurf – Das Forum für Menschenrechte in </w:t>
      </w:r>
      <w:r>
        <w:rPr>
          <w:rFonts w:ascii="Calibri" w:eastAsia="Times New Roman" w:hAnsi="Calibri" w:cs="Calibri"/>
          <w:b/>
          <w:bCs/>
          <w:sz w:val="28"/>
          <w:szCs w:val="28"/>
          <w:lang w:eastAsia="de-DE"/>
        </w:rPr>
        <w:br/>
      </w:r>
      <w:r w:rsidRPr="00FE7202">
        <w:rPr>
          <w:rFonts w:ascii="Calibri" w:eastAsia="Times New Roman" w:hAnsi="Calibri" w:cs="Calibri"/>
          <w:b/>
          <w:bCs/>
          <w:sz w:val="28"/>
          <w:szCs w:val="28"/>
          <w:lang w:eastAsia="de-DE"/>
        </w:rPr>
        <w:t>Israel/Palästina ist alarmiert und fordert die Schweiz zum Handeln auf </w:t>
      </w:r>
    </w:p>
    <w:p w14:paraId="314C82AF" w14:textId="77777777" w:rsidR="00FE7202" w:rsidRPr="00FE7202" w:rsidRDefault="00FE7202" w:rsidP="00FE7202">
      <w:pPr>
        <w:spacing w:after="120" w:line="264" w:lineRule="auto"/>
        <w:rPr>
          <w:rFonts w:ascii="Calibri" w:eastAsia="Times New Roman" w:hAnsi="Calibri" w:cs="Calibri"/>
          <w:sz w:val="22"/>
          <w:szCs w:val="22"/>
          <w:lang w:eastAsia="de-DE"/>
        </w:rPr>
      </w:pPr>
      <w:r w:rsidRPr="00FE7202">
        <w:rPr>
          <w:rFonts w:ascii="Calibri" w:eastAsia="Times New Roman" w:hAnsi="Calibri" w:cs="Calibri"/>
          <w:sz w:val="22"/>
          <w:szCs w:val="22"/>
          <w:lang w:eastAsia="de-DE"/>
        </w:rPr>
        <w:t>Am 1. Februar 2022 </w:t>
      </w:r>
      <w:hyperlink r:id="rId6" w:history="1">
        <w:r w:rsidRPr="00FE7202">
          <w:rPr>
            <w:rFonts w:ascii="Calibri" w:eastAsia="Times New Roman" w:hAnsi="Calibri" w:cs="Calibri"/>
            <w:color w:val="0563C1"/>
            <w:sz w:val="22"/>
            <w:szCs w:val="22"/>
            <w:u w:val="single"/>
            <w:lang w:eastAsia="de-DE"/>
          </w:rPr>
          <w:t>hat Amnesty International einen Bericht publiziert</w:t>
        </w:r>
      </w:hyperlink>
      <w:r w:rsidRPr="00FE7202">
        <w:rPr>
          <w:rFonts w:ascii="Calibri" w:eastAsia="Times New Roman" w:hAnsi="Calibri" w:cs="Calibri"/>
          <w:sz w:val="22"/>
          <w:szCs w:val="22"/>
          <w:lang w:eastAsia="de-DE"/>
        </w:rPr>
        <w:t> , in dem die Menschenrechtsorganisation Israel beschuldigt, sich dem Verbrechen gegen die Menschlichkeit der «Apartheid» gemäss </w:t>
      </w:r>
      <w:hyperlink r:id="rId7" w:history="1">
        <w:r w:rsidRPr="00FE7202">
          <w:rPr>
            <w:rFonts w:ascii="Calibri" w:eastAsia="Times New Roman" w:hAnsi="Calibri" w:cs="Calibri"/>
            <w:color w:val="0563C1"/>
            <w:sz w:val="22"/>
            <w:szCs w:val="22"/>
            <w:u w:val="single"/>
            <w:lang w:eastAsia="de-DE"/>
          </w:rPr>
          <w:t>Römischem St</w:t>
        </w:r>
        <w:r w:rsidRPr="00FE7202">
          <w:rPr>
            <w:rFonts w:ascii="Calibri" w:eastAsia="Times New Roman" w:hAnsi="Calibri" w:cs="Calibri"/>
            <w:color w:val="0563C1"/>
            <w:sz w:val="22"/>
            <w:szCs w:val="22"/>
            <w:u w:val="single"/>
            <w:lang w:eastAsia="de-DE"/>
          </w:rPr>
          <w:t>a</w:t>
        </w:r>
        <w:r w:rsidRPr="00FE7202">
          <w:rPr>
            <w:rFonts w:ascii="Calibri" w:eastAsia="Times New Roman" w:hAnsi="Calibri" w:cs="Calibri"/>
            <w:color w:val="0563C1"/>
            <w:sz w:val="22"/>
            <w:szCs w:val="22"/>
            <w:u w:val="single"/>
            <w:lang w:eastAsia="de-DE"/>
          </w:rPr>
          <w:t>tut</w:t>
        </w:r>
      </w:hyperlink>
      <w:r w:rsidRPr="00FE7202">
        <w:rPr>
          <w:rFonts w:ascii="Calibri" w:eastAsia="Times New Roman" w:hAnsi="Calibri" w:cs="Calibri"/>
          <w:sz w:val="22"/>
          <w:szCs w:val="22"/>
          <w:lang w:eastAsia="de-DE"/>
        </w:rPr>
        <w:t> des Internationalen Strafgerichtshofs (ICC) und </w:t>
      </w:r>
      <w:hyperlink r:id="rId8" w:history="1">
        <w:r w:rsidRPr="00FE7202">
          <w:rPr>
            <w:rFonts w:ascii="Calibri" w:eastAsia="Times New Roman" w:hAnsi="Calibri" w:cs="Calibri"/>
            <w:color w:val="0563C1"/>
            <w:sz w:val="22"/>
            <w:szCs w:val="22"/>
            <w:u w:val="single"/>
            <w:lang w:eastAsia="de-DE"/>
          </w:rPr>
          <w:t>UNO-Apartheid-Konvention</w:t>
        </w:r>
      </w:hyperlink>
      <w:r w:rsidRPr="00FE7202">
        <w:rPr>
          <w:rFonts w:ascii="Calibri" w:eastAsia="Times New Roman" w:hAnsi="Calibri" w:cs="Calibri"/>
          <w:sz w:val="22"/>
          <w:szCs w:val="22"/>
          <w:lang w:eastAsia="de-DE"/>
        </w:rPr>
        <w:t> schuldig zu machen. Israel habe ein institutionalisiertes Regime systematischer Unterdrückung errichtet, welches die Aufrechterhaltung der Dominanz über PalästinenserInnen sowohl in Israel als auch in den besetzten Gebieten bezwecke: Gezielte territoriale Fragmentierung, rechtliche Segregation, Unterstellung unter die Militärgesetzgebung, Verweigerung von Niederlassungsrecht, Familienleben und Staatsangehörigkeit, Einschränkung der Bewegungsfreiheit, des Rechts auf politische Partizipation und der Versammlungsfreiheit, Enteignung von Grund und Boden, sowie Unterdrückung der menschlichen, sozialen und wirtschaftlichen Entwicklung dienten einem System der Unterdrückung, welches den Tatbestand der Apartheid erfülle. </w:t>
      </w:r>
    </w:p>
    <w:p w14:paraId="5F3E34AF" w14:textId="623F0DB9" w:rsidR="00FE7202" w:rsidRPr="00FE7202" w:rsidRDefault="00FE7202" w:rsidP="00FE7202">
      <w:pPr>
        <w:spacing w:after="120" w:line="264" w:lineRule="auto"/>
        <w:rPr>
          <w:rFonts w:ascii="Calibri" w:eastAsia="Times New Roman" w:hAnsi="Calibri" w:cs="Calibri"/>
          <w:sz w:val="22"/>
          <w:szCs w:val="22"/>
          <w:lang w:eastAsia="de-DE"/>
        </w:rPr>
      </w:pPr>
      <w:r w:rsidRPr="00FE7202">
        <w:rPr>
          <w:rFonts w:ascii="Calibri" w:eastAsia="Times New Roman" w:hAnsi="Calibri" w:cs="Calibri"/>
          <w:sz w:val="22"/>
          <w:szCs w:val="22"/>
          <w:lang w:eastAsia="de-DE"/>
        </w:rPr>
        <w:t xml:space="preserve">Bereits in den vergangenen Jahren sind namhafte palästinensische, israelische und internationale Menschenrechtsorganisationen wie </w:t>
      </w:r>
      <w:hyperlink r:id="rId9" w:history="1">
        <w:r w:rsidRPr="00FE7202">
          <w:rPr>
            <w:rStyle w:val="Hyperlink"/>
            <w:rFonts w:ascii="Calibri" w:eastAsia="Times New Roman" w:hAnsi="Calibri" w:cs="Calibri"/>
            <w:sz w:val="22"/>
            <w:szCs w:val="22"/>
            <w:lang w:eastAsia="de-DE"/>
          </w:rPr>
          <w:t>al-Haq</w:t>
        </w:r>
      </w:hyperlink>
      <w:r w:rsidRPr="00FE7202">
        <w:rPr>
          <w:rFonts w:ascii="Calibri" w:eastAsia="Times New Roman" w:hAnsi="Calibri" w:cs="Calibri"/>
          <w:sz w:val="22"/>
          <w:szCs w:val="22"/>
          <w:lang w:eastAsia="de-DE"/>
        </w:rPr>
        <w:t>, </w:t>
      </w:r>
      <w:proofErr w:type="spellStart"/>
      <w:r w:rsidRPr="00FE7202">
        <w:rPr>
          <w:rFonts w:ascii="Calibri" w:eastAsia="Times New Roman" w:hAnsi="Calibri" w:cs="Calibri"/>
          <w:sz w:val="22"/>
          <w:szCs w:val="22"/>
          <w:lang w:eastAsia="de-DE"/>
        </w:rPr>
        <w:fldChar w:fldCharType="begin"/>
      </w:r>
      <w:r w:rsidRPr="00FE7202">
        <w:rPr>
          <w:rFonts w:ascii="Calibri" w:eastAsia="Times New Roman" w:hAnsi="Calibri" w:cs="Calibri"/>
          <w:sz w:val="22"/>
          <w:szCs w:val="22"/>
          <w:lang w:eastAsia="de-DE"/>
        </w:rPr>
        <w:instrText xml:space="preserve"> HYPERLINK "https://www.btselem.org/publications/fulltext/202101_this_is_apartheid" </w:instrText>
      </w:r>
      <w:r w:rsidRPr="00FE7202">
        <w:rPr>
          <w:rFonts w:ascii="Calibri" w:eastAsia="Times New Roman" w:hAnsi="Calibri" w:cs="Calibri"/>
          <w:sz w:val="22"/>
          <w:szCs w:val="22"/>
          <w:lang w:eastAsia="de-DE"/>
        </w:rPr>
        <w:fldChar w:fldCharType="separate"/>
      </w:r>
      <w:r w:rsidRPr="00FE7202">
        <w:rPr>
          <w:rFonts w:ascii="Calibri" w:eastAsia="Times New Roman" w:hAnsi="Calibri" w:cs="Calibri"/>
          <w:color w:val="0563C1"/>
          <w:sz w:val="22"/>
          <w:szCs w:val="22"/>
          <w:u w:val="single"/>
          <w:lang w:eastAsia="de-DE"/>
        </w:rPr>
        <w:t>B’Tselem</w:t>
      </w:r>
      <w:proofErr w:type="spellEnd"/>
      <w:r w:rsidRPr="00FE7202">
        <w:rPr>
          <w:rFonts w:ascii="Calibri" w:eastAsia="Times New Roman" w:hAnsi="Calibri" w:cs="Calibri"/>
          <w:sz w:val="22"/>
          <w:szCs w:val="22"/>
          <w:lang w:eastAsia="de-DE"/>
        </w:rPr>
        <w:fldChar w:fldCharType="end"/>
      </w:r>
      <w:r w:rsidRPr="00FE7202">
        <w:rPr>
          <w:rFonts w:ascii="Calibri" w:eastAsia="Times New Roman" w:hAnsi="Calibri" w:cs="Calibri"/>
          <w:sz w:val="22"/>
          <w:szCs w:val="22"/>
          <w:lang w:eastAsia="de-DE"/>
        </w:rPr>
        <w:t>, </w:t>
      </w:r>
      <w:proofErr w:type="spellStart"/>
      <w:r w:rsidRPr="00FE7202">
        <w:rPr>
          <w:rFonts w:ascii="Calibri" w:eastAsia="Times New Roman" w:hAnsi="Calibri" w:cs="Calibri"/>
          <w:sz w:val="22"/>
          <w:szCs w:val="22"/>
          <w:lang w:eastAsia="de-DE"/>
        </w:rPr>
        <w:fldChar w:fldCharType="begin"/>
      </w:r>
      <w:r w:rsidRPr="00FE7202">
        <w:rPr>
          <w:rFonts w:ascii="Calibri" w:eastAsia="Times New Roman" w:hAnsi="Calibri" w:cs="Calibri"/>
          <w:sz w:val="22"/>
          <w:szCs w:val="22"/>
          <w:lang w:eastAsia="de-DE"/>
        </w:rPr>
        <w:instrText xml:space="preserve"> HYPERLINK "https://www.diakonia.se/ihl/news/israel-palestine-publication/expert-opinion-occupation-palestine-apartheid/" </w:instrText>
      </w:r>
      <w:r w:rsidRPr="00FE7202">
        <w:rPr>
          <w:rFonts w:ascii="Calibri" w:eastAsia="Times New Roman" w:hAnsi="Calibri" w:cs="Calibri"/>
          <w:sz w:val="22"/>
          <w:szCs w:val="22"/>
          <w:lang w:eastAsia="de-DE"/>
        </w:rPr>
        <w:fldChar w:fldCharType="separate"/>
      </w:r>
      <w:r w:rsidRPr="00FE7202">
        <w:rPr>
          <w:rFonts w:ascii="Calibri" w:eastAsia="Times New Roman" w:hAnsi="Calibri" w:cs="Calibri"/>
          <w:color w:val="0563C1"/>
          <w:sz w:val="22"/>
          <w:szCs w:val="22"/>
          <w:u w:val="single"/>
          <w:lang w:eastAsia="de-DE"/>
        </w:rPr>
        <w:t>Diakonia</w:t>
      </w:r>
      <w:proofErr w:type="spellEnd"/>
      <w:r w:rsidRPr="00FE7202">
        <w:rPr>
          <w:rFonts w:ascii="Calibri" w:eastAsia="Times New Roman" w:hAnsi="Calibri" w:cs="Calibri"/>
          <w:sz w:val="22"/>
          <w:szCs w:val="22"/>
          <w:lang w:eastAsia="de-DE"/>
        </w:rPr>
        <w:fldChar w:fldCharType="end"/>
      </w:r>
      <w:r w:rsidRPr="00FE7202">
        <w:rPr>
          <w:rFonts w:ascii="Calibri" w:eastAsia="Times New Roman" w:hAnsi="Calibri" w:cs="Calibri"/>
          <w:sz w:val="22"/>
          <w:szCs w:val="22"/>
          <w:lang w:eastAsia="de-DE"/>
        </w:rPr>
        <w:t>, </w:t>
      </w:r>
      <w:proofErr w:type="spellStart"/>
      <w:r w:rsidRPr="00FE7202">
        <w:rPr>
          <w:rFonts w:ascii="Calibri" w:eastAsia="Times New Roman" w:hAnsi="Calibri" w:cs="Calibri"/>
          <w:sz w:val="22"/>
          <w:szCs w:val="22"/>
          <w:lang w:eastAsia="de-DE"/>
        </w:rPr>
        <w:fldChar w:fldCharType="begin"/>
      </w:r>
      <w:r w:rsidR="0067498B">
        <w:rPr>
          <w:rFonts w:ascii="Calibri" w:eastAsia="Times New Roman" w:hAnsi="Calibri" w:cs="Calibri"/>
          <w:sz w:val="22"/>
          <w:szCs w:val="22"/>
          <w:lang w:eastAsia="de-DE"/>
        </w:rPr>
        <w:instrText>HYPERLINK "https://s3-eu-west-1.amazonaws.com/files.yesh-din.org/Apartheid+2020/Apartheid+ENG.pdf"</w:instrText>
      </w:r>
      <w:r w:rsidR="0067498B" w:rsidRPr="00FE7202">
        <w:rPr>
          <w:rFonts w:ascii="Calibri" w:eastAsia="Times New Roman" w:hAnsi="Calibri" w:cs="Calibri"/>
          <w:sz w:val="22"/>
          <w:szCs w:val="22"/>
          <w:lang w:eastAsia="de-DE"/>
        </w:rPr>
      </w:r>
      <w:r w:rsidRPr="00FE7202">
        <w:rPr>
          <w:rFonts w:ascii="Calibri" w:eastAsia="Times New Roman" w:hAnsi="Calibri" w:cs="Calibri"/>
          <w:sz w:val="22"/>
          <w:szCs w:val="22"/>
          <w:lang w:eastAsia="de-DE"/>
        </w:rPr>
        <w:fldChar w:fldCharType="separate"/>
      </w:r>
      <w:r w:rsidRPr="00FE7202">
        <w:rPr>
          <w:rFonts w:ascii="Calibri" w:eastAsia="Times New Roman" w:hAnsi="Calibri" w:cs="Calibri"/>
          <w:color w:val="0563C1"/>
          <w:sz w:val="22"/>
          <w:szCs w:val="22"/>
          <w:u w:val="single"/>
          <w:lang w:eastAsia="de-DE"/>
        </w:rPr>
        <w:t>Yesh</w:t>
      </w:r>
      <w:proofErr w:type="spellEnd"/>
      <w:r w:rsidRPr="00FE7202">
        <w:rPr>
          <w:rFonts w:ascii="Calibri" w:eastAsia="Times New Roman" w:hAnsi="Calibri" w:cs="Calibri"/>
          <w:color w:val="0563C1"/>
          <w:sz w:val="22"/>
          <w:szCs w:val="22"/>
          <w:u w:val="single"/>
          <w:lang w:eastAsia="de-DE"/>
        </w:rPr>
        <w:t xml:space="preserve"> Din</w:t>
      </w:r>
      <w:r w:rsidRPr="00FE7202">
        <w:rPr>
          <w:rFonts w:ascii="Calibri" w:eastAsia="Times New Roman" w:hAnsi="Calibri" w:cs="Calibri"/>
          <w:sz w:val="22"/>
          <w:szCs w:val="22"/>
          <w:lang w:eastAsia="de-DE"/>
        </w:rPr>
        <w:fldChar w:fldCharType="end"/>
      </w:r>
      <w:r w:rsidRPr="00FE7202">
        <w:rPr>
          <w:rFonts w:ascii="Calibri" w:eastAsia="Times New Roman" w:hAnsi="Calibri" w:cs="Calibri"/>
          <w:sz w:val="22"/>
          <w:szCs w:val="22"/>
          <w:lang w:eastAsia="de-DE"/>
        </w:rPr>
        <w:t> und </w:t>
      </w:r>
      <w:hyperlink r:id="rId10" w:history="1">
        <w:r w:rsidRPr="00FE7202">
          <w:rPr>
            <w:rFonts w:ascii="Calibri" w:eastAsia="Times New Roman" w:hAnsi="Calibri" w:cs="Calibri"/>
            <w:color w:val="0563C1"/>
            <w:sz w:val="22"/>
            <w:szCs w:val="22"/>
            <w:u w:val="single"/>
            <w:lang w:eastAsia="de-DE"/>
          </w:rPr>
          <w:t xml:space="preserve">Human </w:t>
        </w:r>
        <w:proofErr w:type="spellStart"/>
        <w:r w:rsidRPr="00FE7202">
          <w:rPr>
            <w:rFonts w:ascii="Calibri" w:eastAsia="Times New Roman" w:hAnsi="Calibri" w:cs="Calibri"/>
            <w:color w:val="0563C1"/>
            <w:sz w:val="22"/>
            <w:szCs w:val="22"/>
            <w:u w:val="single"/>
            <w:lang w:eastAsia="de-DE"/>
          </w:rPr>
          <w:t>Rights</w:t>
        </w:r>
        <w:proofErr w:type="spellEnd"/>
        <w:r w:rsidRPr="00FE7202">
          <w:rPr>
            <w:rFonts w:ascii="Calibri" w:eastAsia="Times New Roman" w:hAnsi="Calibri" w:cs="Calibri"/>
            <w:color w:val="0563C1"/>
            <w:sz w:val="22"/>
            <w:szCs w:val="22"/>
            <w:u w:val="single"/>
            <w:lang w:eastAsia="de-DE"/>
          </w:rPr>
          <w:t xml:space="preserve"> W</w:t>
        </w:r>
        <w:r w:rsidRPr="00FE7202">
          <w:rPr>
            <w:rFonts w:ascii="Calibri" w:eastAsia="Times New Roman" w:hAnsi="Calibri" w:cs="Calibri"/>
            <w:color w:val="0563C1"/>
            <w:sz w:val="22"/>
            <w:szCs w:val="22"/>
            <w:u w:val="single"/>
            <w:lang w:eastAsia="de-DE"/>
          </w:rPr>
          <w:t>a</w:t>
        </w:r>
        <w:r w:rsidRPr="00FE7202">
          <w:rPr>
            <w:rFonts w:ascii="Calibri" w:eastAsia="Times New Roman" w:hAnsi="Calibri" w:cs="Calibri"/>
            <w:color w:val="0563C1"/>
            <w:sz w:val="22"/>
            <w:szCs w:val="22"/>
            <w:u w:val="single"/>
            <w:lang w:eastAsia="de-DE"/>
          </w:rPr>
          <w:t>tch</w:t>
        </w:r>
      </w:hyperlink>
      <w:r w:rsidRPr="00FE7202">
        <w:rPr>
          <w:rFonts w:ascii="Calibri" w:eastAsia="Times New Roman" w:hAnsi="Calibri" w:cs="Calibri"/>
          <w:sz w:val="22"/>
          <w:szCs w:val="22"/>
          <w:lang w:eastAsia="de-DE"/>
        </w:rPr>
        <w:t xml:space="preserve"> in eigenen Untersuchungen zum selben Schluss gekommen. Palästinensische </w:t>
      </w:r>
      <w:proofErr w:type="spellStart"/>
      <w:r w:rsidRPr="00FE7202">
        <w:rPr>
          <w:rFonts w:ascii="Calibri" w:eastAsia="Times New Roman" w:hAnsi="Calibri" w:cs="Calibri"/>
          <w:sz w:val="22"/>
          <w:szCs w:val="22"/>
          <w:lang w:eastAsia="de-DE"/>
        </w:rPr>
        <w:t>WissenschaftlerInnen</w:t>
      </w:r>
      <w:proofErr w:type="spellEnd"/>
      <w:r w:rsidRPr="00FE7202">
        <w:rPr>
          <w:rFonts w:ascii="Calibri" w:eastAsia="Times New Roman" w:hAnsi="Calibri" w:cs="Calibri"/>
          <w:sz w:val="22"/>
          <w:szCs w:val="22"/>
          <w:lang w:eastAsia="de-DE"/>
        </w:rPr>
        <w:t xml:space="preserve">, </w:t>
      </w:r>
      <w:proofErr w:type="spellStart"/>
      <w:r w:rsidRPr="00FE7202">
        <w:rPr>
          <w:rFonts w:ascii="Calibri" w:eastAsia="Times New Roman" w:hAnsi="Calibri" w:cs="Calibri"/>
          <w:sz w:val="22"/>
          <w:szCs w:val="22"/>
          <w:lang w:eastAsia="de-DE"/>
        </w:rPr>
        <w:t>AnwältInnen</w:t>
      </w:r>
      <w:proofErr w:type="spellEnd"/>
      <w:r w:rsidRPr="00FE7202">
        <w:rPr>
          <w:rFonts w:ascii="Calibri" w:eastAsia="Times New Roman" w:hAnsi="Calibri" w:cs="Calibri"/>
          <w:sz w:val="22"/>
          <w:szCs w:val="22"/>
          <w:lang w:eastAsia="de-DE"/>
        </w:rPr>
        <w:t xml:space="preserve"> und Menschenrechtsorganisationen argumentieren bereits seit Jahren, teilweise sogar Jahrzehnten, dass der israelische Staat das Verbrechen gegen die Menschlichkeit «Apartheid» begeht. </w:t>
      </w:r>
      <w:hyperlink r:id="rId11" w:history="1">
        <w:r w:rsidRPr="00FE7202">
          <w:rPr>
            <w:rFonts w:ascii="Calibri" w:eastAsia="Times New Roman" w:hAnsi="Calibri" w:cs="Calibri"/>
            <w:color w:val="0563C1"/>
            <w:sz w:val="22"/>
            <w:szCs w:val="22"/>
            <w:u w:val="single"/>
            <w:lang w:eastAsia="de-DE"/>
          </w:rPr>
          <w:t>Das Forum für Menschenrechte in Israe</w:t>
        </w:r>
        <w:r w:rsidRPr="00FE7202">
          <w:rPr>
            <w:rFonts w:ascii="Calibri" w:eastAsia="Times New Roman" w:hAnsi="Calibri" w:cs="Calibri"/>
            <w:color w:val="0563C1"/>
            <w:sz w:val="22"/>
            <w:szCs w:val="22"/>
            <w:u w:val="single"/>
            <w:lang w:eastAsia="de-DE"/>
          </w:rPr>
          <w:t>l</w:t>
        </w:r>
        <w:r w:rsidRPr="00FE7202">
          <w:rPr>
            <w:rFonts w:ascii="Calibri" w:eastAsia="Times New Roman" w:hAnsi="Calibri" w:cs="Calibri"/>
            <w:color w:val="0563C1"/>
            <w:sz w:val="22"/>
            <w:szCs w:val="22"/>
            <w:u w:val="single"/>
            <w:lang w:eastAsia="de-DE"/>
          </w:rPr>
          <w:t>/ Palästina</w:t>
        </w:r>
      </w:hyperlink>
      <w:r w:rsidRPr="00FE7202">
        <w:rPr>
          <w:rFonts w:ascii="Calibri" w:eastAsia="Times New Roman" w:hAnsi="Calibri" w:cs="Calibri"/>
          <w:sz w:val="22"/>
          <w:szCs w:val="22"/>
          <w:lang w:eastAsia="de-DE"/>
        </w:rPr>
        <w:t> (das Forum) ist angesichts der sich verdichtenden Faktenlage alarmiert. Als rechtsbasierte Organisation ist das Forum der Überzeugung, dass der genannte Vorwurf einer juristischen Aufklärung bedarf. Zumal Israel jedoch die Zuständigkeit des Internationalen Strafgerichtshof (ICC) in der Angelegenheit bestreitet und damit nicht mit einem baldigen Gerichtsurteil gerechnet werden kann, fordert das Forum die Schweiz und andere Drittstaaten dringend dazu auf:</w:t>
      </w:r>
    </w:p>
    <w:p w14:paraId="707817DB" w14:textId="77777777" w:rsidR="00FE7202" w:rsidRPr="00FE7202" w:rsidRDefault="00FE7202" w:rsidP="00FE7202">
      <w:pPr>
        <w:numPr>
          <w:ilvl w:val="0"/>
          <w:numId w:val="1"/>
        </w:numPr>
        <w:spacing w:after="120" w:line="264" w:lineRule="auto"/>
        <w:ind w:left="357" w:hanging="357"/>
        <w:rPr>
          <w:rFonts w:ascii="Calibri" w:eastAsia="Times New Roman" w:hAnsi="Calibri" w:cs="Calibri"/>
          <w:sz w:val="22"/>
          <w:szCs w:val="22"/>
          <w:lang w:eastAsia="de-DE"/>
        </w:rPr>
      </w:pPr>
      <w:r w:rsidRPr="00FE7202">
        <w:rPr>
          <w:rFonts w:ascii="Calibri" w:eastAsia="Times New Roman" w:hAnsi="Calibri" w:cs="Calibri"/>
          <w:sz w:val="22"/>
          <w:szCs w:val="22"/>
          <w:lang w:eastAsia="de-DE"/>
        </w:rPr>
        <w:t>den Internationale Strafgerichtshof (ICC) als zuständigen Gerichtsbarkeit zu Untersuchungen der Apartheidvorwürfe gegen Israel zu ermutigen und ihn dabei vollumfänglich zu unterstützen.</w:t>
      </w:r>
    </w:p>
    <w:p w14:paraId="4A38172E" w14:textId="77777777" w:rsidR="00FE7202" w:rsidRPr="00FE7202" w:rsidRDefault="00FE7202" w:rsidP="00FE7202">
      <w:pPr>
        <w:numPr>
          <w:ilvl w:val="0"/>
          <w:numId w:val="1"/>
        </w:numPr>
        <w:spacing w:after="120" w:line="264" w:lineRule="auto"/>
        <w:ind w:left="357" w:hanging="357"/>
        <w:rPr>
          <w:rFonts w:ascii="Calibri" w:eastAsia="Times New Roman" w:hAnsi="Calibri" w:cs="Calibri"/>
          <w:sz w:val="22"/>
          <w:szCs w:val="22"/>
          <w:lang w:eastAsia="de-DE"/>
        </w:rPr>
      </w:pPr>
      <w:r w:rsidRPr="00FE7202">
        <w:rPr>
          <w:rFonts w:ascii="Calibri" w:eastAsia="Times New Roman" w:hAnsi="Calibri" w:cs="Calibri"/>
          <w:sz w:val="22"/>
          <w:szCs w:val="22"/>
          <w:lang w:eastAsia="de-DE"/>
        </w:rPr>
        <w:t>öffentlich ihre Besorgnis angesichts des fundierten Apartheid-Vorwurfes zu bekunden und Israel dazu aufzufordern, jegliche Praxen einzustellen, die im dringenden Verdacht stehen, zu einem Regime der Apartheid beizutragen.</w:t>
      </w:r>
    </w:p>
    <w:p w14:paraId="64DE2BD5" w14:textId="77777777" w:rsidR="00FE7202" w:rsidRPr="00FE7202" w:rsidRDefault="00FE7202" w:rsidP="00FE7202">
      <w:pPr>
        <w:numPr>
          <w:ilvl w:val="0"/>
          <w:numId w:val="1"/>
        </w:numPr>
        <w:spacing w:after="120" w:line="264" w:lineRule="auto"/>
        <w:ind w:left="357" w:hanging="357"/>
        <w:rPr>
          <w:rFonts w:ascii="Calibri" w:eastAsia="Times New Roman" w:hAnsi="Calibri" w:cs="Calibri"/>
          <w:sz w:val="22"/>
          <w:szCs w:val="22"/>
          <w:lang w:eastAsia="de-DE"/>
        </w:rPr>
      </w:pPr>
      <w:r w:rsidRPr="00FE7202">
        <w:rPr>
          <w:rFonts w:ascii="Calibri" w:eastAsia="Times New Roman" w:hAnsi="Calibri" w:cs="Calibri"/>
          <w:sz w:val="22"/>
          <w:szCs w:val="22"/>
          <w:lang w:eastAsia="de-DE"/>
        </w:rPr>
        <w:t>ihre Sorgfaltspflicht wahrzunehmen und wirtschaftliche und politische Transaktionen mit Israel im Einzelnen daraufhin zu überprüfen, ob sie ein mutmassliches Regime der Apartheid unterstützen und gegebenenfalls zu unterbinden.</w:t>
      </w:r>
    </w:p>
    <w:p w14:paraId="54944E0A" w14:textId="73518031" w:rsidR="00FE7202" w:rsidRPr="00FE7202" w:rsidRDefault="00FE7202">
      <w:pPr>
        <w:spacing w:after="120" w:line="264" w:lineRule="auto"/>
        <w:rPr>
          <w:rFonts w:ascii="Calibri" w:eastAsia="Times New Roman" w:hAnsi="Calibri" w:cs="Calibri"/>
          <w:sz w:val="22"/>
          <w:szCs w:val="22"/>
          <w:lang w:eastAsia="de-DE"/>
        </w:rPr>
      </w:pPr>
      <w:r w:rsidRPr="00FE7202">
        <w:rPr>
          <w:rFonts w:ascii="Calibri" w:eastAsia="Times New Roman" w:hAnsi="Calibri" w:cs="Calibri"/>
          <w:sz w:val="22"/>
          <w:szCs w:val="22"/>
          <w:lang w:eastAsia="de-DE"/>
        </w:rPr>
        <w:t>Das Forum für Menschenrechte in Israel/Palästina ist ein Zusammenschluss von zwölf Schweizer Nichtregierungsorganisationen und versteht sich als Kompetenzzentrum für einen menschenrechtsbasierten Ansatz im Nahostkonflikt. Unser Hauptanliegen ist es, die Schweizer Öffentlichkeit zu sensibilisieren und mit ihr auf eine Verbesserung der Menschenrechtssituation vor Ort hinzuwirken.</w:t>
      </w:r>
    </w:p>
    <w:sectPr w:rsidR="00FE7202" w:rsidRPr="00FE7202" w:rsidSect="00910FAA">
      <w:pgSz w:w="11900" w:h="16840"/>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626A1"/>
    <w:multiLevelType w:val="multilevel"/>
    <w:tmpl w:val="417A5EE2"/>
    <w:lvl w:ilvl="0">
      <w:start w:val="1"/>
      <w:numFmt w:val="bullet"/>
      <w:lvlText w:val=""/>
      <w:lvlJc w:val="left"/>
      <w:pPr>
        <w:tabs>
          <w:tab w:val="num" w:pos="-432"/>
        </w:tabs>
        <w:ind w:left="-432" w:hanging="360"/>
      </w:pPr>
      <w:rPr>
        <w:rFonts w:ascii="Symbol" w:hAnsi="Symbol" w:hint="default"/>
        <w:sz w:val="20"/>
      </w:rPr>
    </w:lvl>
    <w:lvl w:ilvl="1" w:tentative="1">
      <w:start w:val="1"/>
      <w:numFmt w:val="bullet"/>
      <w:lvlText w:val=""/>
      <w:lvlJc w:val="left"/>
      <w:pPr>
        <w:tabs>
          <w:tab w:val="num" w:pos="288"/>
        </w:tabs>
        <w:ind w:left="288" w:hanging="360"/>
      </w:pPr>
      <w:rPr>
        <w:rFonts w:ascii="Symbol" w:hAnsi="Symbol" w:hint="default"/>
        <w:sz w:val="20"/>
      </w:rPr>
    </w:lvl>
    <w:lvl w:ilvl="2" w:tentative="1">
      <w:start w:val="1"/>
      <w:numFmt w:val="bullet"/>
      <w:lvlText w:val=""/>
      <w:lvlJc w:val="left"/>
      <w:pPr>
        <w:tabs>
          <w:tab w:val="num" w:pos="1008"/>
        </w:tabs>
        <w:ind w:left="1008" w:hanging="360"/>
      </w:pPr>
      <w:rPr>
        <w:rFonts w:ascii="Symbol" w:hAnsi="Symbol" w:hint="default"/>
        <w:sz w:val="20"/>
      </w:rPr>
    </w:lvl>
    <w:lvl w:ilvl="3" w:tentative="1">
      <w:start w:val="1"/>
      <w:numFmt w:val="bullet"/>
      <w:lvlText w:val=""/>
      <w:lvlJc w:val="left"/>
      <w:pPr>
        <w:tabs>
          <w:tab w:val="num" w:pos="1728"/>
        </w:tabs>
        <w:ind w:left="1728" w:hanging="360"/>
      </w:pPr>
      <w:rPr>
        <w:rFonts w:ascii="Symbol" w:hAnsi="Symbol" w:hint="default"/>
        <w:sz w:val="20"/>
      </w:rPr>
    </w:lvl>
    <w:lvl w:ilvl="4" w:tentative="1">
      <w:start w:val="1"/>
      <w:numFmt w:val="bullet"/>
      <w:lvlText w:val=""/>
      <w:lvlJc w:val="left"/>
      <w:pPr>
        <w:tabs>
          <w:tab w:val="num" w:pos="2448"/>
        </w:tabs>
        <w:ind w:left="2448" w:hanging="360"/>
      </w:pPr>
      <w:rPr>
        <w:rFonts w:ascii="Symbol" w:hAnsi="Symbol" w:hint="default"/>
        <w:sz w:val="20"/>
      </w:rPr>
    </w:lvl>
    <w:lvl w:ilvl="5" w:tentative="1">
      <w:start w:val="1"/>
      <w:numFmt w:val="bullet"/>
      <w:lvlText w:val=""/>
      <w:lvlJc w:val="left"/>
      <w:pPr>
        <w:tabs>
          <w:tab w:val="num" w:pos="3168"/>
        </w:tabs>
        <w:ind w:left="3168" w:hanging="360"/>
      </w:pPr>
      <w:rPr>
        <w:rFonts w:ascii="Symbol" w:hAnsi="Symbol" w:hint="default"/>
        <w:sz w:val="20"/>
      </w:rPr>
    </w:lvl>
    <w:lvl w:ilvl="6" w:tentative="1">
      <w:start w:val="1"/>
      <w:numFmt w:val="bullet"/>
      <w:lvlText w:val=""/>
      <w:lvlJc w:val="left"/>
      <w:pPr>
        <w:tabs>
          <w:tab w:val="num" w:pos="3888"/>
        </w:tabs>
        <w:ind w:left="3888" w:hanging="360"/>
      </w:pPr>
      <w:rPr>
        <w:rFonts w:ascii="Symbol" w:hAnsi="Symbol" w:hint="default"/>
        <w:sz w:val="20"/>
      </w:rPr>
    </w:lvl>
    <w:lvl w:ilvl="7" w:tentative="1">
      <w:start w:val="1"/>
      <w:numFmt w:val="bullet"/>
      <w:lvlText w:val=""/>
      <w:lvlJc w:val="left"/>
      <w:pPr>
        <w:tabs>
          <w:tab w:val="num" w:pos="4608"/>
        </w:tabs>
        <w:ind w:left="4608" w:hanging="360"/>
      </w:pPr>
      <w:rPr>
        <w:rFonts w:ascii="Symbol" w:hAnsi="Symbol" w:hint="default"/>
        <w:sz w:val="20"/>
      </w:rPr>
    </w:lvl>
    <w:lvl w:ilvl="8" w:tentative="1">
      <w:start w:val="1"/>
      <w:numFmt w:val="bullet"/>
      <w:lvlText w:val=""/>
      <w:lvlJc w:val="left"/>
      <w:pPr>
        <w:tabs>
          <w:tab w:val="num" w:pos="5328"/>
        </w:tabs>
        <w:ind w:left="5328"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02"/>
    <w:rsid w:val="001543C1"/>
    <w:rsid w:val="002F16B8"/>
    <w:rsid w:val="0066384A"/>
    <w:rsid w:val="0067498B"/>
    <w:rsid w:val="0078252A"/>
    <w:rsid w:val="00910FAA"/>
    <w:rsid w:val="00AB6612"/>
    <w:rsid w:val="00FE72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366EA35"/>
  <w15:chartTrackingRefBased/>
  <w15:docId w15:val="{A7D58D00-9676-C44B-8A05-6A751FBF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AB6612"/>
    <w:pPr>
      <w:keepNext/>
      <w:keepLines/>
      <w:spacing w:before="240"/>
      <w:outlineLvl w:val="0"/>
    </w:pPr>
    <w:rPr>
      <w:rFonts w:asciiTheme="majorHAnsi" w:eastAsiaTheme="majorEastAsia" w:hAnsiTheme="majorHAnsi" w:cstheme="majorBidi"/>
      <w:b/>
      <w:color w:val="000000" w:themeColor="text1"/>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6612"/>
    <w:rPr>
      <w:rFonts w:asciiTheme="majorHAnsi" w:eastAsiaTheme="majorEastAsia" w:hAnsiTheme="majorHAnsi" w:cstheme="majorBidi"/>
      <w:b/>
      <w:color w:val="000000" w:themeColor="text1"/>
      <w:szCs w:val="32"/>
      <w:lang w:eastAsia="de-DE"/>
    </w:rPr>
  </w:style>
  <w:style w:type="character" w:customStyle="1" w:styleId="apple-converted-space">
    <w:name w:val="apple-converted-space"/>
    <w:basedOn w:val="Absatz-Standardschriftart"/>
    <w:rsid w:val="00FE7202"/>
  </w:style>
  <w:style w:type="character" w:styleId="Hyperlink">
    <w:name w:val="Hyperlink"/>
    <w:basedOn w:val="Absatz-Standardschriftart"/>
    <w:uiPriority w:val="99"/>
    <w:unhideWhenUsed/>
    <w:rsid w:val="00FE7202"/>
    <w:rPr>
      <w:color w:val="0000FF"/>
      <w:u w:val="single"/>
    </w:rPr>
  </w:style>
  <w:style w:type="character" w:styleId="NichtaufgelsteErwhnung">
    <w:name w:val="Unresolved Mention"/>
    <w:basedOn w:val="Absatz-Standardschriftart"/>
    <w:uiPriority w:val="99"/>
    <w:semiHidden/>
    <w:unhideWhenUsed/>
    <w:rsid w:val="00154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5324">
      <w:bodyDiv w:val="1"/>
      <w:marLeft w:val="0"/>
      <w:marRight w:val="0"/>
      <w:marTop w:val="0"/>
      <w:marBottom w:val="0"/>
      <w:divBdr>
        <w:top w:val="none" w:sz="0" w:space="0" w:color="auto"/>
        <w:left w:val="none" w:sz="0" w:space="0" w:color="auto"/>
        <w:bottom w:val="none" w:sz="0" w:space="0" w:color="auto"/>
        <w:right w:val="none" w:sz="0" w:space="0" w:color="auto"/>
      </w:divBdr>
      <w:divsChild>
        <w:div w:id="1658343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86771">
              <w:marLeft w:val="0"/>
              <w:marRight w:val="0"/>
              <w:marTop w:val="0"/>
              <w:marBottom w:val="0"/>
              <w:divBdr>
                <w:top w:val="none" w:sz="0" w:space="0" w:color="auto"/>
                <w:left w:val="none" w:sz="0" w:space="0" w:color="auto"/>
                <w:bottom w:val="none" w:sz="0" w:space="0" w:color="auto"/>
                <w:right w:val="none" w:sz="0" w:space="0" w:color="auto"/>
              </w:divBdr>
              <w:divsChild>
                <w:div w:id="86470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680392">
                      <w:marLeft w:val="0"/>
                      <w:marRight w:val="0"/>
                      <w:marTop w:val="0"/>
                      <w:marBottom w:val="160"/>
                      <w:divBdr>
                        <w:top w:val="none" w:sz="0" w:space="0" w:color="auto"/>
                        <w:left w:val="none" w:sz="0" w:space="0" w:color="auto"/>
                        <w:bottom w:val="none" w:sz="0" w:space="0" w:color="auto"/>
                        <w:right w:val="none" w:sz="0" w:space="0" w:color="auto"/>
                      </w:divBdr>
                      <w:divsChild>
                        <w:div w:id="1971090072">
                          <w:marLeft w:val="0"/>
                          <w:marRight w:val="0"/>
                          <w:marTop w:val="0"/>
                          <w:marBottom w:val="0"/>
                          <w:divBdr>
                            <w:top w:val="none" w:sz="0" w:space="0" w:color="auto"/>
                            <w:left w:val="none" w:sz="0" w:space="0" w:color="auto"/>
                            <w:bottom w:val="none" w:sz="0" w:space="0" w:color="auto"/>
                            <w:right w:val="none" w:sz="0" w:space="0" w:color="auto"/>
                          </w:divBdr>
                          <w:divsChild>
                            <w:div w:id="854995497">
                              <w:marLeft w:val="0"/>
                              <w:marRight w:val="0"/>
                              <w:marTop w:val="0"/>
                              <w:marBottom w:val="0"/>
                              <w:divBdr>
                                <w:top w:val="none" w:sz="0" w:space="0" w:color="auto"/>
                                <w:left w:val="none" w:sz="0" w:space="0" w:color="auto"/>
                                <w:bottom w:val="none" w:sz="0" w:space="0" w:color="auto"/>
                                <w:right w:val="none" w:sz="0" w:space="0" w:color="auto"/>
                              </w:divBdr>
                            </w:div>
                          </w:divsChild>
                        </w:div>
                        <w:div w:id="1255478463">
                          <w:marLeft w:val="0"/>
                          <w:marRight w:val="0"/>
                          <w:marTop w:val="0"/>
                          <w:marBottom w:val="160"/>
                          <w:divBdr>
                            <w:top w:val="none" w:sz="0" w:space="0" w:color="auto"/>
                            <w:left w:val="none" w:sz="0" w:space="0" w:color="auto"/>
                            <w:bottom w:val="none" w:sz="0" w:space="0" w:color="auto"/>
                            <w:right w:val="none" w:sz="0" w:space="0" w:color="auto"/>
                          </w:divBdr>
                          <w:divsChild>
                            <w:div w:id="1650205724">
                              <w:marLeft w:val="0"/>
                              <w:marRight w:val="0"/>
                              <w:marTop w:val="0"/>
                              <w:marBottom w:val="0"/>
                              <w:divBdr>
                                <w:top w:val="none" w:sz="0" w:space="0" w:color="auto"/>
                                <w:left w:val="none" w:sz="0" w:space="0" w:color="auto"/>
                                <w:bottom w:val="none" w:sz="0" w:space="0" w:color="auto"/>
                                <w:right w:val="none" w:sz="0" w:space="0" w:color="auto"/>
                              </w:divBdr>
                            </w:div>
                          </w:divsChild>
                        </w:div>
                        <w:div w:id="1587491670">
                          <w:marLeft w:val="0"/>
                          <w:marRight w:val="0"/>
                          <w:marTop w:val="0"/>
                          <w:marBottom w:val="160"/>
                          <w:divBdr>
                            <w:top w:val="none" w:sz="0" w:space="0" w:color="auto"/>
                            <w:left w:val="none" w:sz="0" w:space="0" w:color="auto"/>
                            <w:bottom w:val="none" w:sz="0" w:space="0" w:color="auto"/>
                            <w:right w:val="none" w:sz="0" w:space="0" w:color="auto"/>
                          </w:divBdr>
                          <w:divsChild>
                            <w:div w:id="69810990">
                              <w:marLeft w:val="0"/>
                              <w:marRight w:val="0"/>
                              <w:marTop w:val="0"/>
                              <w:marBottom w:val="0"/>
                              <w:divBdr>
                                <w:top w:val="none" w:sz="0" w:space="0" w:color="auto"/>
                                <w:left w:val="none" w:sz="0" w:space="0" w:color="auto"/>
                                <w:bottom w:val="none" w:sz="0" w:space="0" w:color="auto"/>
                                <w:right w:val="none" w:sz="0" w:space="0" w:color="auto"/>
                              </w:divBdr>
                            </w:div>
                          </w:divsChild>
                        </w:div>
                        <w:div w:id="1800878321">
                          <w:marLeft w:val="0"/>
                          <w:marRight w:val="0"/>
                          <w:marTop w:val="0"/>
                          <w:marBottom w:val="160"/>
                          <w:divBdr>
                            <w:top w:val="none" w:sz="0" w:space="0" w:color="auto"/>
                            <w:left w:val="none" w:sz="0" w:space="0" w:color="auto"/>
                            <w:bottom w:val="none" w:sz="0" w:space="0" w:color="auto"/>
                            <w:right w:val="none" w:sz="0" w:space="0" w:color="auto"/>
                          </w:divBdr>
                          <w:divsChild>
                            <w:div w:id="2028553157">
                              <w:marLeft w:val="0"/>
                              <w:marRight w:val="0"/>
                              <w:marTop w:val="0"/>
                              <w:marBottom w:val="0"/>
                              <w:divBdr>
                                <w:top w:val="none" w:sz="0" w:space="0" w:color="auto"/>
                                <w:left w:val="none" w:sz="0" w:space="0" w:color="auto"/>
                                <w:bottom w:val="none" w:sz="0" w:space="0" w:color="auto"/>
                                <w:right w:val="none" w:sz="0" w:space="0" w:color="auto"/>
                              </w:divBdr>
                            </w:div>
                          </w:divsChild>
                        </w:div>
                        <w:div w:id="1171679523">
                          <w:marLeft w:val="0"/>
                          <w:marRight w:val="0"/>
                          <w:marTop w:val="0"/>
                          <w:marBottom w:val="160"/>
                          <w:divBdr>
                            <w:top w:val="none" w:sz="0" w:space="0" w:color="auto"/>
                            <w:left w:val="none" w:sz="0" w:space="0" w:color="auto"/>
                            <w:bottom w:val="none" w:sz="0" w:space="0" w:color="auto"/>
                            <w:right w:val="none" w:sz="0" w:space="0" w:color="auto"/>
                          </w:divBdr>
                          <w:divsChild>
                            <w:div w:id="290600068">
                              <w:marLeft w:val="0"/>
                              <w:marRight w:val="0"/>
                              <w:marTop w:val="0"/>
                              <w:marBottom w:val="0"/>
                              <w:divBdr>
                                <w:top w:val="none" w:sz="0" w:space="0" w:color="auto"/>
                                <w:left w:val="none" w:sz="0" w:space="0" w:color="auto"/>
                                <w:bottom w:val="none" w:sz="0" w:space="0" w:color="auto"/>
                                <w:right w:val="none" w:sz="0" w:space="0" w:color="auto"/>
                              </w:divBdr>
                            </w:div>
                          </w:divsChild>
                        </w:div>
                        <w:div w:id="1359239572">
                          <w:marLeft w:val="0"/>
                          <w:marRight w:val="0"/>
                          <w:marTop w:val="0"/>
                          <w:marBottom w:val="160"/>
                          <w:divBdr>
                            <w:top w:val="none" w:sz="0" w:space="0" w:color="auto"/>
                            <w:left w:val="none" w:sz="0" w:space="0" w:color="auto"/>
                            <w:bottom w:val="none" w:sz="0" w:space="0" w:color="auto"/>
                            <w:right w:val="none" w:sz="0" w:space="0" w:color="auto"/>
                          </w:divBdr>
                          <w:divsChild>
                            <w:div w:id="2117291336">
                              <w:marLeft w:val="0"/>
                              <w:marRight w:val="0"/>
                              <w:marTop w:val="0"/>
                              <w:marBottom w:val="0"/>
                              <w:divBdr>
                                <w:top w:val="none" w:sz="0" w:space="0" w:color="auto"/>
                                <w:left w:val="none" w:sz="0" w:space="0" w:color="auto"/>
                                <w:bottom w:val="none" w:sz="0" w:space="0" w:color="auto"/>
                                <w:right w:val="none" w:sz="0" w:space="0" w:color="auto"/>
                              </w:divBdr>
                            </w:div>
                          </w:divsChild>
                        </w:div>
                        <w:div w:id="1317995211">
                          <w:marLeft w:val="0"/>
                          <w:marRight w:val="0"/>
                          <w:marTop w:val="0"/>
                          <w:marBottom w:val="160"/>
                          <w:divBdr>
                            <w:top w:val="none" w:sz="0" w:space="0" w:color="auto"/>
                            <w:left w:val="none" w:sz="0" w:space="0" w:color="auto"/>
                            <w:bottom w:val="none" w:sz="0" w:space="0" w:color="auto"/>
                            <w:right w:val="none" w:sz="0" w:space="0" w:color="auto"/>
                          </w:divBdr>
                          <w:divsChild>
                            <w:div w:id="678000167">
                              <w:marLeft w:val="0"/>
                              <w:marRight w:val="0"/>
                              <w:marTop w:val="0"/>
                              <w:marBottom w:val="0"/>
                              <w:divBdr>
                                <w:top w:val="none" w:sz="0" w:space="0" w:color="auto"/>
                                <w:left w:val="none" w:sz="0" w:space="0" w:color="auto"/>
                                <w:bottom w:val="none" w:sz="0" w:space="0" w:color="auto"/>
                                <w:right w:val="none" w:sz="0" w:space="0" w:color="auto"/>
                              </w:divBdr>
                            </w:div>
                          </w:divsChild>
                        </w:div>
                        <w:div w:id="2134211114">
                          <w:marLeft w:val="0"/>
                          <w:marRight w:val="0"/>
                          <w:marTop w:val="0"/>
                          <w:marBottom w:val="160"/>
                          <w:divBdr>
                            <w:top w:val="none" w:sz="0" w:space="0" w:color="auto"/>
                            <w:left w:val="none" w:sz="0" w:space="0" w:color="auto"/>
                            <w:bottom w:val="none" w:sz="0" w:space="0" w:color="auto"/>
                            <w:right w:val="none" w:sz="0" w:space="0" w:color="auto"/>
                          </w:divBdr>
                          <w:divsChild>
                            <w:div w:id="704599820">
                              <w:marLeft w:val="0"/>
                              <w:marRight w:val="0"/>
                              <w:marTop w:val="0"/>
                              <w:marBottom w:val="0"/>
                              <w:divBdr>
                                <w:top w:val="none" w:sz="0" w:space="0" w:color="auto"/>
                                <w:left w:val="none" w:sz="0" w:space="0" w:color="auto"/>
                                <w:bottom w:val="none" w:sz="0" w:space="0" w:color="auto"/>
                                <w:right w:val="none" w:sz="0" w:space="0" w:color="auto"/>
                              </w:divBdr>
                            </w:div>
                          </w:divsChild>
                        </w:div>
                        <w:div w:id="1814255336">
                          <w:marLeft w:val="0"/>
                          <w:marRight w:val="0"/>
                          <w:marTop w:val="0"/>
                          <w:marBottom w:val="160"/>
                          <w:divBdr>
                            <w:top w:val="none" w:sz="0" w:space="0" w:color="auto"/>
                            <w:left w:val="none" w:sz="0" w:space="0" w:color="auto"/>
                            <w:bottom w:val="none" w:sz="0" w:space="0" w:color="auto"/>
                            <w:right w:val="none" w:sz="0" w:space="0" w:color="auto"/>
                          </w:divBdr>
                          <w:divsChild>
                            <w:div w:id="8319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un.org/avl/ha/cspca/cspc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rg/depts/german/internatrecht/roemstat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en/latest/news/2022/02/israels-apartheid-against-palestinians-a-cruel-system-of-domination-and-a-crime-against-humanity/" TargetMode="External"/><Relationship Id="rId11" Type="http://schemas.openxmlformats.org/officeDocument/2006/relationships/hyperlink" Target="https://www.forum-menschenrechte.ch/wer-wir-sind" TargetMode="External"/><Relationship Id="rId5" Type="http://schemas.openxmlformats.org/officeDocument/2006/relationships/image" Target="media/image1.png"/><Relationship Id="rId10" Type="http://schemas.openxmlformats.org/officeDocument/2006/relationships/hyperlink" Target="https://www.hrw.org/report/2021/04/27/threshold-crossed/israeli-authorities-and-crimes-apartheid-and-persecution" TargetMode="External"/><Relationship Id="rId4" Type="http://schemas.openxmlformats.org/officeDocument/2006/relationships/webSettings" Target="webSettings.xml"/><Relationship Id="rId9" Type="http://schemas.openxmlformats.org/officeDocument/2006/relationships/hyperlink" Target="https://www.alhaq.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dc:creator>
  <cp:keywords/>
  <dc:description/>
  <cp:lastModifiedBy>rk</cp:lastModifiedBy>
  <cp:revision>1</cp:revision>
  <dcterms:created xsi:type="dcterms:W3CDTF">2022-02-03T18:42:00Z</dcterms:created>
  <dcterms:modified xsi:type="dcterms:W3CDTF">2022-02-03T19:03:00Z</dcterms:modified>
</cp:coreProperties>
</file>